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9C59" w14:textId="3635A79C" w:rsidR="008F6118" w:rsidRDefault="008F6118" w:rsidP="008F6118">
      <w:pPr>
        <w:jc w:val="both"/>
        <w:rPr>
          <w:b/>
        </w:rPr>
      </w:pPr>
      <w:r w:rsidRPr="008F6118">
        <w:rPr>
          <w:b/>
        </w:rPr>
        <w:t xml:space="preserve">Procedura aperta, ai sensi dell’art. 71 del </w:t>
      </w:r>
      <w:proofErr w:type="spellStart"/>
      <w:r w:rsidRPr="008F6118">
        <w:rPr>
          <w:b/>
        </w:rPr>
        <w:t>D.Lgs.</w:t>
      </w:r>
      <w:proofErr w:type="spellEnd"/>
      <w:r w:rsidRPr="008F6118">
        <w:rPr>
          <w:b/>
        </w:rPr>
        <w:t xml:space="preserve"> 36/2023, per l’affidamento dei Servizi Assicurativi per un triennio - con opzione di rinnovo per un ulteriore anno – Lotto Unico per Polizze Industriali sez. a) polizza </w:t>
      </w:r>
      <w:proofErr w:type="spellStart"/>
      <w:r w:rsidRPr="008F6118">
        <w:rPr>
          <w:b/>
        </w:rPr>
        <w:t>All</w:t>
      </w:r>
      <w:proofErr w:type="spellEnd"/>
      <w:r w:rsidRPr="008F6118">
        <w:rPr>
          <w:b/>
        </w:rPr>
        <w:t xml:space="preserve"> Risks e sez. b) polizza RCT/O, con il criterio dell’offerta economicamente più vantaggiosa sulla base del miglior rapporto qualità/prezzo.</w:t>
      </w:r>
    </w:p>
    <w:p w14:paraId="7D7DACEA" w14:textId="5D25CB50" w:rsidR="00FA4C47" w:rsidRPr="00DF79B2" w:rsidRDefault="00DF79B2" w:rsidP="00FA4C47">
      <w:pPr>
        <w:rPr>
          <w:u w:val="single"/>
        </w:rPr>
      </w:pPr>
      <w:r w:rsidRPr="00DF79B2">
        <w:rPr>
          <w:u w:val="single"/>
        </w:rPr>
        <w:t>Modello 1 – Domanda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DF79B2" w:rsidRDefault="00184306" w:rsidP="00A718A5">
      <w:pPr>
        <w:jc w:val="both"/>
        <w:rPr>
          <w:b/>
          <w:bCs/>
          <w:i/>
          <w:sz w:val="20"/>
          <w:szCs w:val="20"/>
          <w:u w:val="single"/>
        </w:rPr>
      </w:pPr>
      <w:r w:rsidRPr="006533B7">
        <w:rPr>
          <w:i/>
          <w:sz w:val="20"/>
          <w:szCs w:val="20"/>
        </w:rPr>
        <w:t xml:space="preserve"> </w:t>
      </w:r>
      <w:r w:rsidRPr="00DF79B2">
        <w:rPr>
          <w:b/>
          <w:bCs/>
          <w:i/>
          <w:sz w:val="20"/>
          <w:szCs w:val="20"/>
          <w:u w:val="single"/>
        </w:rPr>
        <w:t>(Compilare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bookmarkStart w:id="0" w:name="_Hlk210395063"/>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bookmarkEnd w:id="0"/>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B412FEC" w14:textId="239E2D24" w:rsidR="000C4EB2" w:rsidRDefault="00FA4C47" w:rsidP="000C4EB2">
      <w:pPr>
        <w:ind w:left="142" w:hanging="142"/>
        <w:jc w:val="both"/>
        <w:rPr>
          <w:rFonts w:ascii="Times New Roman" w:hAnsi="Times New Roman"/>
          <w:iCs/>
          <w:szCs w:val="24"/>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w:t>
      </w:r>
      <w:r w:rsidR="00D573C6">
        <w:rPr>
          <w:sz w:val="20"/>
          <w:szCs w:val="20"/>
        </w:rPr>
        <w:t xml:space="preserve">rotocollo di legalità e il codice etico </w:t>
      </w:r>
      <w:r w:rsidR="00762F09">
        <w:rPr>
          <w:sz w:val="20"/>
          <w:szCs w:val="20"/>
        </w:rPr>
        <w:t>accessibil</w:t>
      </w:r>
      <w:r w:rsidR="00D573C6">
        <w:rPr>
          <w:sz w:val="20"/>
          <w:szCs w:val="20"/>
        </w:rPr>
        <w:t>i</w:t>
      </w:r>
      <w:r w:rsidR="00762F09">
        <w:rPr>
          <w:sz w:val="20"/>
          <w:szCs w:val="20"/>
        </w:rPr>
        <w:t xml:space="preserve"> a</w:t>
      </w:r>
      <w:r w:rsidR="00D573C6">
        <w:rPr>
          <w:sz w:val="20"/>
          <w:szCs w:val="20"/>
        </w:rPr>
        <w:t xml:space="preserve">i </w:t>
      </w:r>
      <w:r w:rsidR="00762F09">
        <w:rPr>
          <w:sz w:val="20"/>
          <w:szCs w:val="20"/>
        </w:rPr>
        <w:t>seguent</w:t>
      </w:r>
      <w:r w:rsidR="00D573C6">
        <w:rPr>
          <w:sz w:val="20"/>
          <w:szCs w:val="20"/>
        </w:rPr>
        <w:t>i</w:t>
      </w:r>
      <w:r w:rsidR="00762F09">
        <w:rPr>
          <w:sz w:val="20"/>
          <w:szCs w:val="20"/>
        </w:rPr>
        <w:t xml:space="preserve"> link</w:t>
      </w:r>
      <w:r w:rsidR="000C4EB2">
        <w:rPr>
          <w:sz w:val="20"/>
          <w:szCs w:val="20"/>
        </w:rPr>
        <w:t xml:space="preserve"> </w:t>
      </w:r>
      <w:r w:rsidR="000C4EB2" w:rsidRPr="00B0674D">
        <w:rPr>
          <w:rFonts w:ascii="Times New Roman" w:hAnsi="Times New Roman"/>
          <w:iCs/>
          <w:szCs w:val="24"/>
        </w:rPr>
        <w:t xml:space="preserve"> </w:t>
      </w:r>
      <w:bookmarkStart w:id="1" w:name="_Hlk210394826"/>
      <w:r w:rsidR="000C4EB2" w:rsidRPr="00B0674D">
        <w:rPr>
          <w:rFonts w:ascii="Times New Roman" w:hAnsi="Times New Roman"/>
          <w:iCs/>
          <w:szCs w:val="24"/>
        </w:rPr>
        <w:fldChar w:fldCharType="begin"/>
      </w:r>
      <w:r w:rsidR="000C4EB2" w:rsidRPr="00B0674D">
        <w:rPr>
          <w:rFonts w:ascii="Times New Roman" w:hAnsi="Times New Roman"/>
          <w:iCs/>
          <w:szCs w:val="24"/>
        </w:rPr>
        <w:instrText xml:space="preserve"> HYPERLINK "https://www.cira.it/it/fornitori/bandi-di-gara" </w:instrText>
      </w:r>
      <w:r w:rsidR="000C4EB2" w:rsidRPr="00B0674D">
        <w:rPr>
          <w:rFonts w:ascii="Times New Roman" w:hAnsi="Times New Roman"/>
          <w:iCs/>
          <w:szCs w:val="24"/>
        </w:rPr>
      </w:r>
      <w:r w:rsidR="000C4EB2" w:rsidRPr="00B0674D">
        <w:rPr>
          <w:rFonts w:ascii="Times New Roman" w:hAnsi="Times New Roman"/>
          <w:iCs/>
          <w:szCs w:val="24"/>
        </w:rPr>
        <w:fldChar w:fldCharType="separate"/>
      </w:r>
      <w:r w:rsidR="000C4EB2" w:rsidRPr="00B0674D">
        <w:rPr>
          <w:rStyle w:val="Collegamentoipertestuale"/>
          <w:rFonts w:ascii="Times New Roman" w:hAnsi="Times New Roman"/>
          <w:iCs/>
          <w:szCs w:val="24"/>
        </w:rPr>
        <w:t>https://www.cira.it/it/fornitori/bandi-di-gara</w:t>
      </w:r>
      <w:r w:rsidR="000C4EB2" w:rsidRPr="00B0674D">
        <w:rPr>
          <w:rFonts w:ascii="Times New Roman" w:hAnsi="Times New Roman"/>
          <w:iCs/>
          <w:szCs w:val="24"/>
        </w:rPr>
        <w:fldChar w:fldCharType="end"/>
      </w:r>
      <w:bookmarkEnd w:id="1"/>
      <w:r w:rsidR="00F11A2B">
        <w:rPr>
          <w:sz w:val="20"/>
          <w:szCs w:val="20"/>
        </w:rPr>
        <w:t xml:space="preserve"> </w:t>
      </w:r>
      <w:r w:rsidR="00D573C6">
        <w:rPr>
          <w:sz w:val="20"/>
          <w:szCs w:val="20"/>
        </w:rPr>
        <w:t xml:space="preserve"> e </w:t>
      </w:r>
      <w:bookmarkStart w:id="2" w:name="_Hlk210394837"/>
      <w:r w:rsidR="000C4EB2" w:rsidRPr="004F1535">
        <w:rPr>
          <w:rFonts w:ascii="Times New Roman" w:hAnsi="Times New Roman"/>
          <w:iCs/>
          <w:szCs w:val="24"/>
          <w:lang w:val="en-US"/>
        </w:rPr>
        <w:fldChar w:fldCharType="begin"/>
      </w:r>
      <w:r w:rsidR="000C4EB2" w:rsidRPr="0077157A">
        <w:rPr>
          <w:rFonts w:ascii="Times New Roman" w:hAnsi="Times New Roman"/>
          <w:iCs/>
          <w:szCs w:val="24"/>
        </w:rPr>
        <w:instrText>HYPERLINK "https://www.enti33.it/CIRA/DocDownload/72327/IDDOCUMENTO"</w:instrText>
      </w:r>
      <w:r w:rsidR="000C4EB2" w:rsidRPr="004F1535">
        <w:rPr>
          <w:rFonts w:ascii="Times New Roman" w:hAnsi="Times New Roman"/>
          <w:iCs/>
          <w:szCs w:val="24"/>
          <w:lang w:val="en-US"/>
        </w:rPr>
      </w:r>
      <w:r w:rsidR="000C4EB2" w:rsidRPr="004F1535">
        <w:rPr>
          <w:rFonts w:ascii="Times New Roman" w:hAnsi="Times New Roman"/>
          <w:iCs/>
          <w:szCs w:val="24"/>
          <w:lang w:val="en-US"/>
        </w:rPr>
        <w:fldChar w:fldCharType="separate"/>
      </w:r>
      <w:r w:rsidR="000C4EB2" w:rsidRPr="004F1535">
        <w:rPr>
          <w:rStyle w:val="Collegamentoipertestuale"/>
          <w:rFonts w:ascii="Times New Roman" w:hAnsi="Times New Roman"/>
          <w:iCs/>
          <w:szCs w:val="24"/>
        </w:rPr>
        <w:t>https://www.enti33.it/CIRA/DocDownload/72327/IDDOCUMENTO</w:t>
      </w:r>
      <w:r w:rsidR="000C4EB2" w:rsidRPr="004F1535">
        <w:rPr>
          <w:rFonts w:ascii="Times New Roman" w:hAnsi="Times New Roman"/>
          <w:iCs/>
          <w:szCs w:val="24"/>
        </w:rPr>
        <w:fldChar w:fldCharType="end"/>
      </w:r>
      <w:bookmarkEnd w:id="2"/>
      <w:r w:rsidR="000C4EB2">
        <w:rPr>
          <w:rFonts w:ascii="Times New Roman" w:hAnsi="Times New Roman"/>
          <w:iCs/>
          <w:szCs w:val="24"/>
        </w:rPr>
        <w:t>;</w:t>
      </w:r>
    </w:p>
    <w:p w14:paraId="74E54145" w14:textId="4C063618" w:rsidR="000C4EB2" w:rsidRPr="000C4EB2" w:rsidRDefault="000C4EB2" w:rsidP="000C4EB2">
      <w:pPr>
        <w:pStyle w:val="Paragrafoelenco"/>
        <w:numPr>
          <w:ilvl w:val="0"/>
          <w:numId w:val="11"/>
        </w:numPr>
        <w:jc w:val="both"/>
        <w:rPr>
          <w:rFonts w:cstheme="minorHAnsi"/>
          <w:iCs/>
          <w:sz w:val="20"/>
          <w:szCs w:val="20"/>
        </w:rPr>
      </w:pPr>
      <w:r w:rsidRPr="000C4EB2">
        <w:rPr>
          <w:rFonts w:cstheme="minorHAnsi"/>
          <w:iCs/>
          <w:sz w:val="20"/>
          <w:szCs w:val="20"/>
        </w:rPr>
        <w:t>di accettare il patto di integrità allegato alla documentazione di gara;</w:t>
      </w:r>
    </w:p>
    <w:p w14:paraId="282520ED" w14:textId="2DEF381B"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w:t>
      </w:r>
      <w:r w:rsidR="00D573C6">
        <w:rPr>
          <w:sz w:val="20"/>
          <w:szCs w:val="20"/>
        </w:rPr>
        <w:t xml:space="preserve">etico </w:t>
      </w:r>
      <w:r w:rsidRPr="006533B7">
        <w:rPr>
          <w:sz w:val="20"/>
          <w:szCs w:val="20"/>
        </w:rPr>
        <w:t xml:space="preserve">adottato dalla stazione appaltante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w:t>
      </w:r>
      <w:proofErr w:type="gramEnd"/>
      <w:r w:rsidR="003B739C">
        <w:rPr>
          <w:rFonts w:cstheme="minorHAnsi"/>
          <w:sz w:val="20"/>
          <w:szCs w:val="20"/>
        </w:rPr>
        <w:t xml:space="preserve">.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w:t>
      </w:r>
      <w:r w:rsidR="000D08AE" w:rsidRPr="00866902">
        <w:rPr>
          <w:rFonts w:cstheme="minorHAnsi"/>
          <w:sz w:val="20"/>
          <w:szCs w:val="20"/>
        </w:rPr>
        <w:lastRenderedPageBreak/>
        <w:t>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bookmarkStart w:id="3" w:name="_Hlk211235579"/>
      <w:r w:rsidRPr="006533B7">
        <w:rPr>
          <w:sz w:val="20"/>
          <w:szCs w:val="20"/>
        </w:rPr>
        <w:t>di aver preso visione e di accettare, senza condizione o riserva alcuna, i chiarimenti (quesiti/risposte) resi disponibili mediante la piattaforma</w:t>
      </w:r>
      <w:r>
        <w:rPr>
          <w:sz w:val="20"/>
          <w:szCs w:val="20"/>
        </w:rPr>
        <w:t>;</w:t>
      </w:r>
      <w:bookmarkEnd w:id="3"/>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702D23DF"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w:t>
      </w:r>
      <w:bookmarkStart w:id="4" w:name="_Hlk210394991"/>
      <w:r w:rsidRPr="00026CF4">
        <w:rPr>
          <w:sz w:val="20"/>
          <w:szCs w:val="20"/>
        </w:rPr>
        <w:t>di assicurare all’occupazione giovanile una quota di</w:t>
      </w:r>
      <w:r w:rsidR="00D573C6">
        <w:rPr>
          <w:sz w:val="20"/>
          <w:szCs w:val="20"/>
        </w:rPr>
        <w:t xml:space="preserve"> 30</w:t>
      </w:r>
      <w:r w:rsidRPr="00026CF4">
        <w:rPr>
          <w:sz w:val="20"/>
          <w:szCs w:val="20"/>
        </w:rPr>
        <w:t xml:space="preserve">% e a quella femminile una quota di </w:t>
      </w:r>
      <w:r w:rsidR="00D573C6">
        <w:rPr>
          <w:sz w:val="20"/>
          <w:szCs w:val="20"/>
        </w:rPr>
        <w:t>30</w:t>
      </w:r>
      <w:r w:rsidRPr="00026CF4">
        <w:rPr>
          <w:sz w:val="20"/>
          <w:szCs w:val="20"/>
        </w:rPr>
        <w:t>% delle assunzioni necessarie per l'esecuzione del contratto o per la realizzazione di attività ad esso connesse o strumentali;</w:t>
      </w:r>
    </w:p>
    <w:bookmarkEnd w:id="4"/>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9C28" w14:textId="77777777" w:rsidR="00793E7B" w:rsidRDefault="00793E7B">
      <w:pPr>
        <w:spacing w:after="0" w:line="240" w:lineRule="auto"/>
      </w:pPr>
      <w:r>
        <w:separator/>
      </w:r>
    </w:p>
  </w:endnote>
  <w:endnote w:type="continuationSeparator" w:id="0">
    <w:p w14:paraId="21E964B3" w14:textId="77777777" w:rsidR="00793E7B" w:rsidRDefault="0079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749B" w14:textId="77777777" w:rsidR="00793E7B" w:rsidRDefault="00793E7B">
      <w:pPr>
        <w:rPr>
          <w:sz w:val="12"/>
        </w:rPr>
      </w:pPr>
      <w:r>
        <w:separator/>
      </w:r>
    </w:p>
  </w:footnote>
  <w:footnote w:type="continuationSeparator" w:id="0">
    <w:p w14:paraId="1A132201" w14:textId="77777777" w:rsidR="00793E7B" w:rsidRDefault="00793E7B">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8A0C6D3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4EB2"/>
    <w:rsid w:val="000C6388"/>
    <w:rsid w:val="000D08AE"/>
    <w:rsid w:val="000D2BAA"/>
    <w:rsid w:val="000D60E4"/>
    <w:rsid w:val="000E5869"/>
    <w:rsid w:val="000F77E0"/>
    <w:rsid w:val="0011020C"/>
    <w:rsid w:val="00113297"/>
    <w:rsid w:val="00115881"/>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490F"/>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2275"/>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93E7B"/>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6A7"/>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8F6118"/>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193E"/>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573C6"/>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DF79B2"/>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D573C6"/>
    <w:rPr>
      <w:color w:val="0563C1" w:themeColor="hyperlink"/>
      <w:u w:val="single"/>
    </w:rPr>
  </w:style>
  <w:style w:type="character" w:styleId="Menzionenonrisolta">
    <w:name w:val="Unresolved Mention"/>
    <w:basedOn w:val="Carpredefinitoparagrafo"/>
    <w:uiPriority w:val="99"/>
    <w:semiHidden/>
    <w:unhideWhenUsed/>
    <w:rsid w:val="00D57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4374</Words>
  <Characters>24938</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Alessandra Tramonte</cp:lastModifiedBy>
  <cp:revision>51</cp:revision>
  <cp:lastPrinted>2023-12-13T08:59:00Z</cp:lastPrinted>
  <dcterms:created xsi:type="dcterms:W3CDTF">2025-08-28T13:59:00Z</dcterms:created>
  <dcterms:modified xsi:type="dcterms:W3CDTF">2025-11-21T12:32:00Z</dcterms:modified>
  <dc:language>it-IT</dc:language>
</cp:coreProperties>
</file>